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45" w:rsidRDefault="00EC6135" w:rsidP="00997A45">
      <w:pPr>
        <w:pStyle w:val="a5"/>
        <w:widowControl/>
        <w:shd w:val="clear" w:color="auto" w:fill="FFFFFF"/>
        <w:spacing w:beforeAutospacing="0" w:afterAutospacing="0" w:line="500" w:lineRule="exact"/>
        <w:jc w:val="center"/>
        <w:rPr>
          <w:rFonts w:ascii="宋体" w:eastAsia="宋体" w:hAnsi="宋体" w:cs="宋体"/>
          <w:b/>
          <w:bCs/>
          <w:color w:val="333333"/>
          <w:spacing w:val="8"/>
          <w:sz w:val="30"/>
          <w:szCs w:val="30"/>
          <w:shd w:val="clear" w:color="auto" w:fill="FFFFFF"/>
        </w:rPr>
      </w:pPr>
      <w:bookmarkStart w:id="0" w:name="OLE_LINK1"/>
      <w:r>
        <w:rPr>
          <w:rFonts w:ascii="宋体" w:eastAsia="宋体" w:hAnsi="宋体" w:cs="宋体" w:hint="eastAsia"/>
          <w:b/>
          <w:bCs/>
          <w:color w:val="333333"/>
          <w:spacing w:val="8"/>
          <w:sz w:val="30"/>
          <w:szCs w:val="30"/>
          <w:shd w:val="clear" w:color="auto" w:fill="FFFFFF"/>
        </w:rPr>
        <w:t>201</w:t>
      </w:r>
      <w:r w:rsidR="002662E1">
        <w:rPr>
          <w:rFonts w:ascii="宋体" w:eastAsia="宋体" w:hAnsi="宋体" w:cs="宋体" w:hint="eastAsia"/>
          <w:b/>
          <w:bCs/>
          <w:color w:val="333333"/>
          <w:spacing w:val="8"/>
          <w:sz w:val="30"/>
          <w:szCs w:val="30"/>
          <w:shd w:val="clear" w:color="auto" w:fill="FFFFFF"/>
        </w:rPr>
        <w:t>9</w:t>
      </w:r>
      <w:r>
        <w:rPr>
          <w:rFonts w:ascii="宋体" w:eastAsia="宋体" w:hAnsi="宋体" w:cs="宋体" w:hint="eastAsia"/>
          <w:b/>
          <w:bCs/>
          <w:color w:val="333333"/>
          <w:spacing w:val="8"/>
          <w:sz w:val="30"/>
          <w:szCs w:val="30"/>
          <w:shd w:val="clear" w:color="auto" w:fill="FFFFFF"/>
        </w:rPr>
        <w:t>-20</w:t>
      </w:r>
      <w:r w:rsidR="002662E1">
        <w:rPr>
          <w:rFonts w:ascii="宋体" w:eastAsia="宋体" w:hAnsi="宋体" w:cs="宋体" w:hint="eastAsia"/>
          <w:b/>
          <w:bCs/>
          <w:color w:val="333333"/>
          <w:spacing w:val="8"/>
          <w:sz w:val="30"/>
          <w:szCs w:val="30"/>
          <w:shd w:val="clear" w:color="auto" w:fill="FFFFFF"/>
        </w:rPr>
        <w:t>21</w:t>
      </w:r>
      <w:r>
        <w:rPr>
          <w:rFonts w:ascii="宋体" w:eastAsia="宋体" w:hAnsi="宋体" w:cs="宋体" w:hint="eastAsia"/>
          <w:b/>
          <w:bCs/>
          <w:color w:val="333333"/>
          <w:spacing w:val="8"/>
          <w:sz w:val="30"/>
          <w:szCs w:val="30"/>
          <w:shd w:val="clear" w:color="auto" w:fill="FFFFFF"/>
        </w:rPr>
        <w:t>年</w:t>
      </w:r>
      <w:r w:rsidR="002662E1">
        <w:rPr>
          <w:rFonts w:ascii="宋体" w:eastAsia="宋体" w:hAnsi="宋体" w:cs="宋体" w:hint="eastAsia"/>
          <w:b/>
          <w:bCs/>
          <w:color w:val="333333"/>
          <w:spacing w:val="8"/>
          <w:sz w:val="30"/>
          <w:szCs w:val="30"/>
          <w:shd w:val="clear" w:color="auto" w:fill="FFFFFF"/>
        </w:rPr>
        <w:t>检验科</w:t>
      </w:r>
      <w:r w:rsidR="00997A45">
        <w:rPr>
          <w:rFonts w:ascii="宋体" w:eastAsia="宋体" w:hAnsi="宋体" w:cs="宋体" w:hint="eastAsia"/>
          <w:b/>
          <w:bCs/>
          <w:color w:val="333333"/>
          <w:spacing w:val="8"/>
          <w:sz w:val="30"/>
          <w:szCs w:val="30"/>
          <w:shd w:val="clear" w:color="auto" w:fill="FFFFFF"/>
        </w:rPr>
        <w:t>SCI论文发表情况一览表</w:t>
      </w:r>
    </w:p>
    <w:tbl>
      <w:tblPr>
        <w:tblW w:w="8959" w:type="dxa"/>
        <w:tblInd w:w="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"/>
        <w:gridCol w:w="867"/>
        <w:gridCol w:w="4513"/>
        <w:gridCol w:w="1724"/>
        <w:gridCol w:w="609"/>
        <w:gridCol w:w="890"/>
      </w:tblGrid>
      <w:tr w:rsidR="00997A45" w:rsidTr="007E1618">
        <w:trPr>
          <w:trHeight w:val="270"/>
        </w:trPr>
        <w:tc>
          <w:tcPr>
            <w:tcW w:w="356" w:type="dxa"/>
            <w:shd w:val="clear" w:color="auto" w:fill="B8CCE4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7A45" w:rsidRDefault="00997A45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867" w:type="dxa"/>
            <w:shd w:val="clear" w:color="auto" w:fill="B8CCE4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7A45" w:rsidRDefault="00997A45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第一作者/通讯作者</w:t>
            </w:r>
          </w:p>
        </w:tc>
        <w:tc>
          <w:tcPr>
            <w:tcW w:w="4513" w:type="dxa"/>
            <w:shd w:val="clear" w:color="auto" w:fill="B8CCE4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7A45" w:rsidRDefault="00997A45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论文题目</w:t>
            </w:r>
          </w:p>
        </w:tc>
        <w:tc>
          <w:tcPr>
            <w:tcW w:w="1724" w:type="dxa"/>
            <w:shd w:val="clear" w:color="auto" w:fill="B8CCE4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7A45" w:rsidRDefault="00997A45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杂志名称</w:t>
            </w:r>
          </w:p>
        </w:tc>
        <w:tc>
          <w:tcPr>
            <w:tcW w:w="609" w:type="dxa"/>
            <w:shd w:val="clear" w:color="auto" w:fill="B8CCE4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7A45" w:rsidRDefault="00A51DF1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IF</w:t>
            </w:r>
          </w:p>
        </w:tc>
        <w:tc>
          <w:tcPr>
            <w:tcW w:w="890" w:type="dxa"/>
            <w:shd w:val="clear" w:color="auto" w:fill="B8CCE4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7A45" w:rsidRDefault="00997A45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年份</w:t>
            </w:r>
          </w:p>
        </w:tc>
      </w:tr>
      <w:tr w:rsidR="00A51DF1" w:rsidRPr="00FB2A71" w:rsidTr="007E1618">
        <w:trPr>
          <w:trHeight w:val="270"/>
        </w:trPr>
        <w:tc>
          <w:tcPr>
            <w:tcW w:w="356" w:type="dxa"/>
            <w:tcBorders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867" w:type="dxa"/>
            <w:tcBorders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张亚琼/朱杰</w:t>
            </w:r>
          </w:p>
        </w:tc>
        <w:tc>
          <w:tcPr>
            <w:tcW w:w="4513" w:type="dxa"/>
            <w:tcBorders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FB2A71"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  <w:t>CircPUM1 promotes hepatocellular carcinoma progression through the miR-1208/MAP3K2 axis</w:t>
            </w:r>
          </w:p>
        </w:tc>
        <w:tc>
          <w:tcPr>
            <w:tcW w:w="1724" w:type="dxa"/>
            <w:tcBorders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O R I G I N A L A R T I C L E</w:t>
            </w:r>
          </w:p>
        </w:tc>
        <w:tc>
          <w:tcPr>
            <w:tcW w:w="609" w:type="dxa"/>
            <w:tcBorders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5.31</w:t>
            </w:r>
          </w:p>
        </w:tc>
        <w:tc>
          <w:tcPr>
            <w:tcW w:w="890" w:type="dxa"/>
            <w:tcBorders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2021.5</w:t>
            </w:r>
          </w:p>
        </w:tc>
      </w:tr>
      <w:tr w:rsidR="00A51DF1" w:rsidRPr="00A51DF1" w:rsidTr="007E1618">
        <w:trPr>
          <w:trHeight w:val="270"/>
        </w:trPr>
        <w:tc>
          <w:tcPr>
            <w:tcW w:w="356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867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朱杰</w:t>
            </w:r>
          </w:p>
        </w:tc>
        <w:tc>
          <w:tcPr>
            <w:tcW w:w="4513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3A47C2"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  <w:t>circRNA circ_102049 Implicates in Pancreatic Ductal Adenocarcinoma Progression through Activating CD80 by Targeting miR-455-3p</w:t>
            </w:r>
          </w:p>
        </w:tc>
        <w:tc>
          <w:tcPr>
            <w:tcW w:w="1724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Mediators Inflamm</w:t>
            </w:r>
          </w:p>
        </w:tc>
        <w:tc>
          <w:tcPr>
            <w:tcW w:w="60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3.758</w:t>
            </w:r>
          </w:p>
        </w:tc>
        <w:tc>
          <w:tcPr>
            <w:tcW w:w="890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2021.6</w:t>
            </w:r>
          </w:p>
        </w:tc>
      </w:tr>
      <w:tr w:rsidR="00A51DF1" w:rsidRPr="00A51DF1" w:rsidTr="007E1618">
        <w:trPr>
          <w:trHeight w:val="270"/>
        </w:trPr>
        <w:tc>
          <w:tcPr>
            <w:tcW w:w="356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867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王毅超/王攀</w:t>
            </w:r>
          </w:p>
        </w:tc>
        <w:tc>
          <w:tcPr>
            <w:tcW w:w="4513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3A47C2"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  <w:t>Integrated profiling identifies CCNA2 as a potential biomarker of immunotherapy in breast cancer</w:t>
            </w:r>
          </w:p>
        </w:tc>
        <w:tc>
          <w:tcPr>
            <w:tcW w:w="1724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OncoTargets and Therapy</w:t>
            </w:r>
          </w:p>
        </w:tc>
        <w:tc>
          <w:tcPr>
            <w:tcW w:w="60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3.337</w:t>
            </w:r>
          </w:p>
        </w:tc>
        <w:tc>
          <w:tcPr>
            <w:tcW w:w="890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2021.4</w:t>
            </w:r>
          </w:p>
        </w:tc>
      </w:tr>
      <w:tr w:rsidR="00A51DF1" w:rsidRPr="00A51DF1" w:rsidTr="007E1618">
        <w:trPr>
          <w:trHeight w:val="270"/>
        </w:trPr>
        <w:tc>
          <w:tcPr>
            <w:tcW w:w="356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867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姚军</w:t>
            </w:r>
          </w:p>
        </w:tc>
        <w:tc>
          <w:tcPr>
            <w:tcW w:w="4513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Circ_0000003 regulates glutamine metabolism and tumor progression of tongue squamous cell carcinoma via the miR-330-3p/GLS axis</w:t>
            </w:r>
          </w:p>
        </w:tc>
        <w:tc>
          <w:tcPr>
            <w:tcW w:w="1724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Oncol Rep</w:t>
            </w:r>
          </w:p>
        </w:tc>
        <w:tc>
          <w:tcPr>
            <w:tcW w:w="60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3.906</w:t>
            </w:r>
          </w:p>
        </w:tc>
        <w:tc>
          <w:tcPr>
            <w:tcW w:w="890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2021.4</w:t>
            </w:r>
          </w:p>
        </w:tc>
      </w:tr>
      <w:tr w:rsidR="00A51DF1" w:rsidRPr="00A51DF1" w:rsidTr="007E1618">
        <w:trPr>
          <w:trHeight w:val="270"/>
        </w:trPr>
        <w:tc>
          <w:tcPr>
            <w:tcW w:w="356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867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姚军</w:t>
            </w:r>
          </w:p>
        </w:tc>
        <w:tc>
          <w:tcPr>
            <w:tcW w:w="4513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Hsa_circ_0043265 Restrains Cell Proliferation, Migration and Invasion of Tongue Squamous Cell Carcinoma via Targeting the miR-1243/SALL1 Axis</w:t>
            </w:r>
          </w:p>
        </w:tc>
        <w:tc>
          <w:tcPr>
            <w:tcW w:w="1724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Pathol. Oncol. Res</w:t>
            </w:r>
          </w:p>
        </w:tc>
        <w:tc>
          <w:tcPr>
            <w:tcW w:w="60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3.201</w:t>
            </w:r>
          </w:p>
        </w:tc>
        <w:tc>
          <w:tcPr>
            <w:tcW w:w="890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2021.2</w:t>
            </w:r>
          </w:p>
        </w:tc>
      </w:tr>
      <w:tr w:rsidR="00A51DF1" w:rsidRPr="00A51DF1" w:rsidTr="007E1618">
        <w:trPr>
          <w:trHeight w:val="270"/>
        </w:trPr>
        <w:tc>
          <w:tcPr>
            <w:tcW w:w="356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867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王毅超/李招云</w:t>
            </w:r>
          </w:p>
        </w:tc>
        <w:tc>
          <w:tcPr>
            <w:tcW w:w="4513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MiR-224-5p carried by human umbilical cord mesenchymal stem cells-derived exosomes regulates autophagy in breast cancer cells via HOXA5</w:t>
            </w:r>
          </w:p>
        </w:tc>
        <w:tc>
          <w:tcPr>
            <w:tcW w:w="1724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Cell And Developmental Biology</w:t>
            </w:r>
          </w:p>
        </w:tc>
        <w:tc>
          <w:tcPr>
            <w:tcW w:w="60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6.67</w:t>
            </w:r>
          </w:p>
        </w:tc>
        <w:tc>
          <w:tcPr>
            <w:tcW w:w="890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2021.5</w:t>
            </w:r>
          </w:p>
        </w:tc>
      </w:tr>
      <w:tr w:rsidR="00A51DF1" w:rsidRPr="00A51DF1" w:rsidTr="007E1618">
        <w:trPr>
          <w:trHeight w:val="270"/>
        </w:trPr>
        <w:tc>
          <w:tcPr>
            <w:tcW w:w="356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867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张亚琼</w:t>
            </w:r>
          </w:p>
        </w:tc>
        <w:tc>
          <w:tcPr>
            <w:tcW w:w="4513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 xml:space="preserve">Immune-related long noncoding RNA </w:t>
            </w: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lastRenderedPageBreak/>
              <w:t>signature for predicting survival and immune checkpoint blockade in hepatocellular carcinoma predicting survival and immune checkpoint blockade in hepatocellular carcinoma</w:t>
            </w:r>
          </w:p>
        </w:tc>
        <w:tc>
          <w:tcPr>
            <w:tcW w:w="1724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lastRenderedPageBreak/>
              <w:t xml:space="preserve">journal of </w:t>
            </w: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lastRenderedPageBreak/>
              <w:t>cellular physiology</w:t>
            </w:r>
          </w:p>
        </w:tc>
        <w:tc>
          <w:tcPr>
            <w:tcW w:w="60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lastRenderedPageBreak/>
              <w:t>5.546</w:t>
            </w:r>
          </w:p>
        </w:tc>
        <w:tc>
          <w:tcPr>
            <w:tcW w:w="890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2020.12</w:t>
            </w:r>
          </w:p>
        </w:tc>
      </w:tr>
      <w:tr w:rsidR="00A51DF1" w:rsidRPr="00A51DF1" w:rsidTr="007E1618">
        <w:trPr>
          <w:trHeight w:val="270"/>
        </w:trPr>
        <w:tc>
          <w:tcPr>
            <w:tcW w:w="356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lastRenderedPageBreak/>
              <w:t>8</w:t>
            </w:r>
          </w:p>
        </w:tc>
        <w:tc>
          <w:tcPr>
            <w:tcW w:w="867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张亚琼</w:t>
            </w:r>
          </w:p>
        </w:tc>
        <w:tc>
          <w:tcPr>
            <w:tcW w:w="4513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lncRNA TCL6 correlates with immune cell infiltration and indicates worse survival in breast cancer</w:t>
            </w:r>
          </w:p>
        </w:tc>
        <w:tc>
          <w:tcPr>
            <w:tcW w:w="1724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Breast Cancer</w:t>
            </w:r>
          </w:p>
        </w:tc>
        <w:tc>
          <w:tcPr>
            <w:tcW w:w="60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2.69</w:t>
            </w:r>
          </w:p>
        </w:tc>
        <w:tc>
          <w:tcPr>
            <w:tcW w:w="890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2020.7</w:t>
            </w:r>
          </w:p>
        </w:tc>
      </w:tr>
      <w:tr w:rsidR="00A51DF1" w:rsidRPr="00A51DF1" w:rsidTr="007E1618">
        <w:trPr>
          <w:trHeight w:val="270"/>
        </w:trPr>
        <w:tc>
          <w:tcPr>
            <w:tcW w:w="356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867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吴晓宇</w:t>
            </w:r>
          </w:p>
        </w:tc>
        <w:tc>
          <w:tcPr>
            <w:tcW w:w="4513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Toll-like Receptor Characterization Correlateswith Asthma and Is Predictive of Diagnosis</w:t>
            </w:r>
          </w:p>
        </w:tc>
        <w:tc>
          <w:tcPr>
            <w:tcW w:w="1724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DNA AND CELL BIOLOGY</w:t>
            </w:r>
          </w:p>
        </w:tc>
        <w:tc>
          <w:tcPr>
            <w:tcW w:w="60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3.191</w:t>
            </w:r>
          </w:p>
        </w:tc>
        <w:tc>
          <w:tcPr>
            <w:tcW w:w="890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2020.6</w:t>
            </w:r>
          </w:p>
        </w:tc>
      </w:tr>
      <w:tr w:rsidR="00A51DF1" w:rsidRPr="00A51DF1" w:rsidTr="007E1618">
        <w:trPr>
          <w:trHeight w:val="270"/>
        </w:trPr>
        <w:tc>
          <w:tcPr>
            <w:tcW w:w="356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867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吴晓宇</w:t>
            </w:r>
          </w:p>
        </w:tc>
        <w:tc>
          <w:tcPr>
            <w:tcW w:w="4513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Solubility of Edaravone in Four Mixed Solvents at 273.15-313. Kand Correlation of Jouyban-acree and CNIBS/R-K Models</w:t>
            </w:r>
          </w:p>
        </w:tc>
        <w:tc>
          <w:tcPr>
            <w:tcW w:w="1724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JOURNAL OF CHEMICAL AND ENGINEERING DATA</w:t>
            </w:r>
          </w:p>
        </w:tc>
        <w:tc>
          <w:tcPr>
            <w:tcW w:w="60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2.369</w:t>
            </w:r>
          </w:p>
        </w:tc>
        <w:tc>
          <w:tcPr>
            <w:tcW w:w="890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2020.4</w:t>
            </w:r>
          </w:p>
        </w:tc>
      </w:tr>
      <w:tr w:rsidR="00A51DF1" w:rsidRPr="00A51DF1" w:rsidTr="007E1618">
        <w:trPr>
          <w:trHeight w:val="270"/>
        </w:trPr>
        <w:tc>
          <w:tcPr>
            <w:tcW w:w="356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11</w:t>
            </w:r>
          </w:p>
        </w:tc>
        <w:tc>
          <w:tcPr>
            <w:tcW w:w="867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吴晓宇</w:t>
            </w:r>
          </w:p>
        </w:tc>
        <w:tc>
          <w:tcPr>
            <w:tcW w:w="4513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Synthesis, biological evaluation, and moleculardocking of((4-([1, 2, 4]triazolo[4, 3-b][I, 2, 4, 5]tetrazin-6-yl)piperazin-1-yl)methyl)benzhydrazide derivatives</w:t>
            </w:r>
          </w:p>
        </w:tc>
        <w:tc>
          <w:tcPr>
            <w:tcW w:w="1724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Journal of Chemical Research</w:t>
            </w:r>
          </w:p>
        </w:tc>
        <w:tc>
          <w:tcPr>
            <w:tcW w:w="60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0.593</w:t>
            </w:r>
          </w:p>
        </w:tc>
        <w:tc>
          <w:tcPr>
            <w:tcW w:w="890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2020.3</w:t>
            </w:r>
          </w:p>
        </w:tc>
      </w:tr>
      <w:tr w:rsidR="00A51DF1" w:rsidRPr="00A51DF1" w:rsidTr="007E1618">
        <w:trPr>
          <w:trHeight w:val="270"/>
        </w:trPr>
        <w:tc>
          <w:tcPr>
            <w:tcW w:w="356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96419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12</w:t>
            </w:r>
          </w:p>
        </w:tc>
        <w:tc>
          <w:tcPr>
            <w:tcW w:w="867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陈寒君/钟倩怡</w:t>
            </w:r>
          </w:p>
        </w:tc>
        <w:tc>
          <w:tcPr>
            <w:tcW w:w="4513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MicroRNA -200c Inhibits the Metastasis of Triple- Negative Breast Cancer by Targeting ZEB2,an Epithelial-Mesenchymal Transition Regulator</w:t>
            </w:r>
          </w:p>
        </w:tc>
        <w:tc>
          <w:tcPr>
            <w:tcW w:w="1724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ANNALS OF CLINICAL AND LABORATORY SCIENCE</w:t>
            </w:r>
          </w:p>
        </w:tc>
        <w:tc>
          <w:tcPr>
            <w:tcW w:w="60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0.927</w:t>
            </w:r>
          </w:p>
        </w:tc>
        <w:tc>
          <w:tcPr>
            <w:tcW w:w="890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2020.6</w:t>
            </w:r>
          </w:p>
        </w:tc>
      </w:tr>
      <w:tr w:rsidR="00A51DF1" w:rsidRPr="00A51DF1" w:rsidTr="007E1618">
        <w:trPr>
          <w:trHeight w:val="270"/>
        </w:trPr>
        <w:tc>
          <w:tcPr>
            <w:tcW w:w="356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13</w:t>
            </w:r>
          </w:p>
        </w:tc>
        <w:tc>
          <w:tcPr>
            <w:tcW w:w="867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姚军</w:t>
            </w:r>
          </w:p>
        </w:tc>
        <w:tc>
          <w:tcPr>
            <w:tcW w:w="4513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 xml:space="preserve"> Long noncoding RNA LINC01391 restrained gastric cancer aerobic glycolysis and tumorigenesis via targeting </w:t>
            </w: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lastRenderedPageBreak/>
              <w:t>miR-12116/CMTM2 axis</w:t>
            </w:r>
          </w:p>
        </w:tc>
        <w:tc>
          <w:tcPr>
            <w:tcW w:w="1724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lastRenderedPageBreak/>
              <w:t>J Cancer</w:t>
            </w:r>
          </w:p>
        </w:tc>
        <w:tc>
          <w:tcPr>
            <w:tcW w:w="60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4.207</w:t>
            </w:r>
          </w:p>
        </w:tc>
        <w:tc>
          <w:tcPr>
            <w:tcW w:w="890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2020.11</w:t>
            </w:r>
          </w:p>
        </w:tc>
      </w:tr>
      <w:tr w:rsidR="00A51DF1" w:rsidRPr="00A51DF1" w:rsidTr="007E1618">
        <w:trPr>
          <w:trHeight w:val="270"/>
        </w:trPr>
        <w:tc>
          <w:tcPr>
            <w:tcW w:w="356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lastRenderedPageBreak/>
              <w:t>14</w:t>
            </w:r>
          </w:p>
        </w:tc>
        <w:tc>
          <w:tcPr>
            <w:tcW w:w="867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姚军</w:t>
            </w:r>
          </w:p>
        </w:tc>
        <w:tc>
          <w:tcPr>
            <w:tcW w:w="4513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LncRNA MAFG-AS1 Accelerates Cell Migration, Invasion and Aerobic Glycolysis of Esophageal Squamous Cell Carcinoma Cells via miR-765/PDX1 Axis</w:t>
            </w:r>
          </w:p>
        </w:tc>
        <w:tc>
          <w:tcPr>
            <w:tcW w:w="1724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Cancer Manag Res</w:t>
            </w:r>
          </w:p>
        </w:tc>
        <w:tc>
          <w:tcPr>
            <w:tcW w:w="60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3.989</w:t>
            </w:r>
          </w:p>
        </w:tc>
        <w:tc>
          <w:tcPr>
            <w:tcW w:w="890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2020.8</w:t>
            </w:r>
          </w:p>
        </w:tc>
      </w:tr>
      <w:tr w:rsidR="00A51DF1" w:rsidRPr="00A51DF1" w:rsidTr="007E1618">
        <w:trPr>
          <w:trHeight w:val="270"/>
        </w:trPr>
        <w:tc>
          <w:tcPr>
            <w:tcW w:w="356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867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张亚琼/李招云</w:t>
            </w:r>
          </w:p>
        </w:tc>
        <w:tc>
          <w:tcPr>
            <w:tcW w:w="4513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Identification of a New Eight-long Nonccding RNA Molecular Signature for Breast Canceral Prediction Survival Prediction</w:t>
            </w:r>
          </w:p>
        </w:tc>
        <w:tc>
          <w:tcPr>
            <w:tcW w:w="1724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DNA AND CELL BIOLOGY</w:t>
            </w:r>
          </w:p>
        </w:tc>
        <w:tc>
          <w:tcPr>
            <w:tcW w:w="60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2.918</w:t>
            </w:r>
          </w:p>
        </w:tc>
        <w:tc>
          <w:tcPr>
            <w:tcW w:w="890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2019.12</w:t>
            </w:r>
          </w:p>
        </w:tc>
      </w:tr>
      <w:tr w:rsidR="00A51DF1" w:rsidRPr="00A51DF1" w:rsidTr="007E1618">
        <w:trPr>
          <w:trHeight w:val="270"/>
        </w:trPr>
        <w:tc>
          <w:tcPr>
            <w:tcW w:w="356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16</w:t>
            </w:r>
          </w:p>
        </w:tc>
        <w:tc>
          <w:tcPr>
            <w:tcW w:w="867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王毅超</w:t>
            </w:r>
          </w:p>
        </w:tc>
        <w:tc>
          <w:tcPr>
            <w:tcW w:w="4513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Rapid detection of insulin by immune-enrichment with silicon-nanoparticle assisted MALDI-TOF MS</w:t>
            </w:r>
          </w:p>
        </w:tc>
        <w:tc>
          <w:tcPr>
            <w:tcW w:w="1724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Analytical Biochemistry</w:t>
            </w:r>
          </w:p>
        </w:tc>
        <w:tc>
          <w:tcPr>
            <w:tcW w:w="60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2.507</w:t>
            </w:r>
          </w:p>
        </w:tc>
        <w:tc>
          <w:tcPr>
            <w:tcW w:w="890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2019.7</w:t>
            </w:r>
          </w:p>
        </w:tc>
      </w:tr>
      <w:tr w:rsidR="00A51DF1" w:rsidRPr="00A51DF1" w:rsidTr="007E1618">
        <w:trPr>
          <w:trHeight w:val="270"/>
        </w:trPr>
        <w:tc>
          <w:tcPr>
            <w:tcW w:w="356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17</w:t>
            </w:r>
          </w:p>
        </w:tc>
        <w:tc>
          <w:tcPr>
            <w:tcW w:w="867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张亚琼</w:t>
            </w:r>
          </w:p>
        </w:tc>
        <w:tc>
          <w:tcPr>
            <w:tcW w:w="4513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Six genes as potential diagnosis and prognosis biomarkers for hepatocellular carcinoma through data mining</w:t>
            </w:r>
          </w:p>
        </w:tc>
        <w:tc>
          <w:tcPr>
            <w:tcW w:w="1724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JOURNAL OF CELLULAR PHYSIOLOGY</w:t>
            </w:r>
          </w:p>
        </w:tc>
        <w:tc>
          <w:tcPr>
            <w:tcW w:w="60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4.522</w:t>
            </w:r>
          </w:p>
        </w:tc>
        <w:tc>
          <w:tcPr>
            <w:tcW w:w="890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2019.6</w:t>
            </w:r>
          </w:p>
        </w:tc>
      </w:tr>
      <w:tr w:rsidR="00A51DF1" w:rsidRPr="00A51DF1" w:rsidTr="007E1618">
        <w:trPr>
          <w:trHeight w:val="270"/>
        </w:trPr>
        <w:tc>
          <w:tcPr>
            <w:tcW w:w="356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18</w:t>
            </w:r>
          </w:p>
        </w:tc>
        <w:tc>
          <w:tcPr>
            <w:tcW w:w="867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周勇</w:t>
            </w:r>
          </w:p>
        </w:tc>
        <w:tc>
          <w:tcPr>
            <w:tcW w:w="4513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Using the synthesized peptide HAYED(5)to protect the brain against iron catalyzed radical attack in a naturally senescence Kunming mouse model</w:t>
            </w:r>
          </w:p>
        </w:tc>
        <w:tc>
          <w:tcPr>
            <w:tcW w:w="1724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Free Radical Biology and Medicine</w:t>
            </w:r>
          </w:p>
        </w:tc>
        <w:tc>
          <w:tcPr>
            <w:tcW w:w="60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5.606</w:t>
            </w:r>
          </w:p>
        </w:tc>
        <w:tc>
          <w:tcPr>
            <w:tcW w:w="890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2019.1</w:t>
            </w:r>
          </w:p>
        </w:tc>
      </w:tr>
      <w:tr w:rsidR="00A51DF1" w:rsidRPr="00A51DF1" w:rsidTr="007E1618">
        <w:trPr>
          <w:trHeight w:val="270"/>
        </w:trPr>
        <w:tc>
          <w:tcPr>
            <w:tcW w:w="356" w:type="dxa"/>
            <w:tcBorders>
              <w:top w:val="dashSmallGap" w:sz="4" w:space="0" w:color="8DB3E2" w:themeColor="text2" w:themeTint="66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19</w:t>
            </w:r>
          </w:p>
        </w:tc>
        <w:tc>
          <w:tcPr>
            <w:tcW w:w="867" w:type="dxa"/>
            <w:tcBorders>
              <w:top w:val="dashSmallGap" w:sz="4" w:space="0" w:color="8DB3E2" w:themeColor="text2" w:themeTint="66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王毅超</w:t>
            </w:r>
          </w:p>
        </w:tc>
        <w:tc>
          <w:tcPr>
            <w:tcW w:w="4513" w:type="dxa"/>
            <w:tcBorders>
              <w:top w:val="dashSmallGap" w:sz="4" w:space="0" w:color="8DB3E2" w:themeColor="text2" w:themeTint="66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Clinical value of ROMA index in diagnosis of ovarian cancer: meta-analysis</w:t>
            </w:r>
          </w:p>
        </w:tc>
        <w:tc>
          <w:tcPr>
            <w:tcW w:w="1724" w:type="dxa"/>
            <w:tcBorders>
              <w:top w:val="dashSmallGap" w:sz="4" w:space="0" w:color="8DB3E2" w:themeColor="text2" w:themeTint="66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Cancer Management and Research</w:t>
            </w:r>
          </w:p>
        </w:tc>
        <w:tc>
          <w:tcPr>
            <w:tcW w:w="609" w:type="dxa"/>
            <w:tcBorders>
              <w:top w:val="dashSmallGap" w:sz="4" w:space="0" w:color="8DB3E2" w:themeColor="text2" w:themeTint="66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2.243</w:t>
            </w:r>
          </w:p>
        </w:tc>
        <w:tc>
          <w:tcPr>
            <w:tcW w:w="890" w:type="dxa"/>
            <w:tcBorders>
              <w:top w:val="dashSmallGap" w:sz="4" w:space="0" w:color="8DB3E2" w:themeColor="text2" w:themeTint="66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1DF1" w:rsidRPr="00A51DF1" w:rsidRDefault="00A51DF1" w:rsidP="00A51DF1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 w:rsidRPr="00A51DF1"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  <w:shd w:val="clear" w:color="auto" w:fill="FFFFFF"/>
              </w:rPr>
              <w:t>2019.3</w:t>
            </w:r>
          </w:p>
        </w:tc>
      </w:tr>
      <w:bookmarkEnd w:id="0"/>
    </w:tbl>
    <w:p w:rsidR="00997A45" w:rsidRPr="00A51DF1" w:rsidRDefault="00997A45" w:rsidP="00A51DF1">
      <w:pPr>
        <w:pStyle w:val="a5"/>
        <w:widowControl/>
        <w:spacing w:beforeAutospacing="0" w:afterAutospacing="0" w:line="500" w:lineRule="exact"/>
        <w:jc w:val="center"/>
        <w:rPr>
          <w:rFonts w:ascii="宋体" w:eastAsia="宋体" w:hAnsi="宋体" w:cs="宋体"/>
          <w:color w:val="333333"/>
          <w:spacing w:val="8"/>
          <w:sz w:val="21"/>
          <w:szCs w:val="21"/>
          <w:shd w:val="clear" w:color="auto" w:fill="FFFFFF"/>
        </w:rPr>
      </w:pPr>
    </w:p>
    <w:sectPr w:rsidR="00997A45" w:rsidRPr="00A51DF1" w:rsidSect="00F61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3B0" w:rsidRDefault="00FD53B0" w:rsidP="00997A45">
      <w:r>
        <w:separator/>
      </w:r>
    </w:p>
  </w:endnote>
  <w:endnote w:type="continuationSeparator" w:id="1">
    <w:p w:rsidR="00FD53B0" w:rsidRDefault="00FD53B0" w:rsidP="0099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3B0" w:rsidRDefault="00FD53B0" w:rsidP="00997A45">
      <w:r>
        <w:separator/>
      </w:r>
    </w:p>
  </w:footnote>
  <w:footnote w:type="continuationSeparator" w:id="1">
    <w:p w:rsidR="00FD53B0" w:rsidRDefault="00FD53B0" w:rsidP="00997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A45"/>
    <w:rsid w:val="001864EE"/>
    <w:rsid w:val="002662E1"/>
    <w:rsid w:val="0027020C"/>
    <w:rsid w:val="0038250D"/>
    <w:rsid w:val="003A47C2"/>
    <w:rsid w:val="00530AE9"/>
    <w:rsid w:val="006021FE"/>
    <w:rsid w:val="006125A3"/>
    <w:rsid w:val="007D5807"/>
    <w:rsid w:val="007E1618"/>
    <w:rsid w:val="00997A45"/>
    <w:rsid w:val="00997E75"/>
    <w:rsid w:val="00A51DF1"/>
    <w:rsid w:val="00AA596D"/>
    <w:rsid w:val="00C33B15"/>
    <w:rsid w:val="00D21688"/>
    <w:rsid w:val="00EC6135"/>
    <w:rsid w:val="00F75BA8"/>
    <w:rsid w:val="00FB2A71"/>
    <w:rsid w:val="00FD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4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A4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A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A4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A45"/>
    <w:rPr>
      <w:sz w:val="18"/>
      <w:szCs w:val="18"/>
    </w:rPr>
  </w:style>
  <w:style w:type="paragraph" w:styleId="a5">
    <w:name w:val="Normal (Web)"/>
    <w:basedOn w:val="a"/>
    <w:qFormat/>
    <w:rsid w:val="00997A45"/>
    <w:pPr>
      <w:widowControl w:val="0"/>
      <w:spacing w:beforeAutospacing="1" w:afterAutospacing="1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488</Words>
  <Characters>2787</Characters>
  <Application>Microsoft Office Word</Application>
  <DocSecurity>0</DocSecurity>
  <Lines>23</Lines>
  <Paragraphs>6</Paragraphs>
  <ScaleCrop>false</ScaleCrop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11</cp:revision>
  <dcterms:created xsi:type="dcterms:W3CDTF">2021-07-28T08:43:00Z</dcterms:created>
  <dcterms:modified xsi:type="dcterms:W3CDTF">2021-07-29T00:22:00Z</dcterms:modified>
</cp:coreProperties>
</file>